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2726" w14:textId="1C8E43EE" w:rsidR="00C45C1F" w:rsidRPr="00903D9A" w:rsidRDefault="00C45C1F" w:rsidP="00903D9A">
      <w:pPr>
        <w:pStyle w:val="Title"/>
        <w:spacing w:line="360" w:lineRule="auto"/>
        <w:rPr>
          <w:sz w:val="52"/>
          <w:szCs w:val="52"/>
        </w:rPr>
      </w:pPr>
      <w:r w:rsidRPr="00903D9A">
        <w:rPr>
          <w:sz w:val="52"/>
          <w:szCs w:val="52"/>
        </w:rPr>
        <w:t>Notes for GPs prescribing</w:t>
      </w:r>
      <w:r w:rsidRPr="00903D9A">
        <w:rPr>
          <w:b/>
          <w:bCs/>
          <w:sz w:val="52"/>
          <w:szCs w:val="52"/>
        </w:rPr>
        <w:t xml:space="preserve"> </w:t>
      </w:r>
      <w:r w:rsidR="00657BCB" w:rsidRPr="00903D9A">
        <w:rPr>
          <w:b/>
          <w:bCs/>
          <w:sz w:val="52"/>
          <w:szCs w:val="52"/>
        </w:rPr>
        <w:t>Ato</w:t>
      </w:r>
      <w:r w:rsidRPr="00903D9A">
        <w:rPr>
          <w:b/>
          <w:bCs/>
          <w:sz w:val="52"/>
          <w:szCs w:val="52"/>
        </w:rPr>
        <w:t>gepant</w:t>
      </w:r>
    </w:p>
    <w:p w14:paraId="4DBFF1F6" w14:textId="50433BAC" w:rsidR="00C45C1F" w:rsidRPr="00903D9A" w:rsidRDefault="0046536B" w:rsidP="00903D9A">
      <w:pPr>
        <w:pStyle w:val="Heading1"/>
        <w:spacing w:line="360" w:lineRule="auto"/>
        <w:rPr>
          <w:sz w:val="28"/>
          <w:szCs w:val="28"/>
        </w:rPr>
      </w:pPr>
      <w:r w:rsidRPr="00903D9A">
        <w:rPr>
          <w:sz w:val="28"/>
          <w:szCs w:val="28"/>
        </w:rPr>
        <w:t xml:space="preserve"> </w:t>
      </w:r>
      <w:r w:rsidR="00C45C1F" w:rsidRPr="00903D9A">
        <w:rPr>
          <w:sz w:val="28"/>
          <w:szCs w:val="28"/>
        </w:rPr>
        <w:t>Background</w:t>
      </w:r>
    </w:p>
    <w:p w14:paraId="762C35B4" w14:textId="7BCBD359" w:rsidR="00EF0313" w:rsidRDefault="0046536B" w:rsidP="00903D9A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360" w:hanging="360"/>
        <w:jc w:val="both"/>
        <w:rPr>
          <w:rFonts w:cstheme="minorHAnsi"/>
        </w:rPr>
      </w:pPr>
      <w:r>
        <w:rPr>
          <w:rFonts w:cstheme="minorHAnsi"/>
        </w:rPr>
        <w:tab/>
      </w:r>
      <w:r w:rsidR="00657BCB" w:rsidRPr="004D609F">
        <w:rPr>
          <w:rFonts w:cstheme="minorHAnsi"/>
          <w:b/>
          <w:bCs/>
        </w:rPr>
        <w:t>Atogepant</w:t>
      </w:r>
      <w:r w:rsidR="00657BCB">
        <w:rPr>
          <w:rFonts w:cstheme="minorHAnsi"/>
        </w:rPr>
        <w:t xml:space="preserve"> is an</w:t>
      </w:r>
      <w:r w:rsidR="00C45C1F" w:rsidRPr="00C45C1F">
        <w:rPr>
          <w:rFonts w:cstheme="minorHAnsi"/>
        </w:rPr>
        <w:t xml:space="preserve"> oral CGRP blocker and part of the Gepant group of drugs. CGRP is</w:t>
      </w:r>
      <w:r w:rsidR="008D15F0">
        <w:rPr>
          <w:rFonts w:cstheme="minorHAnsi"/>
        </w:rPr>
        <w:t xml:space="preserve"> an</w:t>
      </w:r>
      <w:r w:rsidR="00C45C1F">
        <w:rPr>
          <w:rFonts w:cstheme="minorHAnsi"/>
        </w:rPr>
        <w:t xml:space="preserve"> </w:t>
      </w:r>
      <w:r w:rsidR="00C45C1F" w:rsidRPr="00C45C1F">
        <w:rPr>
          <w:rFonts w:cstheme="minorHAnsi"/>
        </w:rPr>
        <w:t xml:space="preserve">important transmitter involved in the migraine mechanism. </w:t>
      </w:r>
      <w:r w:rsidR="00005F49">
        <w:rPr>
          <w:rFonts w:cstheme="minorHAnsi"/>
        </w:rPr>
        <w:t xml:space="preserve"> </w:t>
      </w:r>
    </w:p>
    <w:p w14:paraId="6970CA86" w14:textId="5D117EE4" w:rsidR="00C45C1F" w:rsidRDefault="00EF0313" w:rsidP="00903D9A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360" w:hanging="360"/>
        <w:jc w:val="both"/>
        <w:rPr>
          <w:rFonts w:cstheme="minorHAnsi"/>
        </w:rPr>
      </w:pPr>
      <w:r>
        <w:rPr>
          <w:rFonts w:cstheme="minorHAnsi"/>
        </w:rPr>
        <w:tab/>
      </w:r>
      <w:bookmarkStart w:id="0" w:name="_Hlk172443701"/>
      <w:r w:rsidR="00C45C1F" w:rsidRPr="00C45C1F">
        <w:rPr>
          <w:rFonts w:cstheme="minorHAnsi"/>
        </w:rPr>
        <w:t xml:space="preserve">The drug has few side effects and drug interactions. </w:t>
      </w:r>
      <w:r w:rsidR="00005F49">
        <w:rPr>
          <w:rFonts w:cstheme="minorHAnsi"/>
        </w:rPr>
        <w:t xml:space="preserve">Side effects are less than current preventer drugs used in primary care. </w:t>
      </w:r>
      <w:r w:rsidR="00C45C1F" w:rsidRPr="00C45C1F">
        <w:rPr>
          <w:rFonts w:cstheme="minorHAnsi"/>
        </w:rPr>
        <w:t>It costs around £</w:t>
      </w:r>
      <w:r w:rsidR="009306DF">
        <w:rPr>
          <w:rFonts w:cstheme="minorHAnsi"/>
        </w:rPr>
        <w:t>180</w:t>
      </w:r>
      <w:r>
        <w:rPr>
          <w:rFonts w:cstheme="minorHAnsi"/>
        </w:rPr>
        <w:t xml:space="preserve"> </w:t>
      </w:r>
      <w:r w:rsidR="00C45C1F" w:rsidRPr="00C45C1F">
        <w:rPr>
          <w:rFonts w:cstheme="minorHAnsi"/>
        </w:rPr>
        <w:t>a month</w:t>
      </w:r>
      <w:r w:rsidR="009306DF">
        <w:rPr>
          <w:rFonts w:cstheme="minorHAnsi"/>
        </w:rPr>
        <w:t>.</w:t>
      </w:r>
      <w:r>
        <w:rPr>
          <w:rFonts w:cstheme="minorHAnsi"/>
        </w:rPr>
        <w:t xml:space="preserve"> </w:t>
      </w:r>
    </w:p>
    <w:bookmarkEnd w:id="0"/>
    <w:p w14:paraId="1AC15E25" w14:textId="0745734F" w:rsidR="004D609F" w:rsidRPr="00903D9A" w:rsidRDefault="0046536B" w:rsidP="00903D9A">
      <w:pPr>
        <w:pStyle w:val="Heading1"/>
        <w:spacing w:line="360" w:lineRule="auto"/>
        <w:rPr>
          <w:sz w:val="28"/>
          <w:szCs w:val="28"/>
        </w:rPr>
      </w:pPr>
      <w:r w:rsidRPr="00903D9A">
        <w:rPr>
          <w:sz w:val="28"/>
          <w:szCs w:val="28"/>
        </w:rPr>
        <w:t>Clinical management</w:t>
      </w:r>
    </w:p>
    <w:p w14:paraId="123FBA1E" w14:textId="09C51BE0" w:rsidR="008C7F7A" w:rsidRDefault="009306DF" w:rsidP="00903D9A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C7F7A">
        <w:rPr>
          <w:rFonts w:eastAsia="Times New Roman" w:cstheme="minorHAnsi"/>
          <w:kern w:val="0"/>
          <w:lang w:eastAsia="en-GB"/>
          <w14:ligatures w14:val="none"/>
        </w:rPr>
        <w:t>Atogepant 60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>mg tablet</w:t>
      </w:r>
      <w:r w:rsidRPr="008C7F7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>once a day</w:t>
      </w:r>
      <w:r w:rsidR="00757857">
        <w:rPr>
          <w:rFonts w:eastAsia="Times New Roman" w:cstheme="minorHAnsi"/>
          <w:kern w:val="0"/>
          <w:lang w:eastAsia="en-GB"/>
          <w14:ligatures w14:val="none"/>
        </w:rPr>
        <w:t xml:space="preserve"> taken in the evening</w:t>
      </w:r>
      <w:r w:rsidR="008C7F7A">
        <w:rPr>
          <w:rFonts w:eastAsia="Times New Roman" w:cstheme="minorHAnsi"/>
          <w:kern w:val="0"/>
          <w:lang w:eastAsia="en-GB"/>
          <w14:ligatures w14:val="none"/>
        </w:rPr>
        <w:t>:</w:t>
      </w:r>
    </w:p>
    <w:p w14:paraId="1F0ADD35" w14:textId="77777777" w:rsidR="008C7F7A" w:rsidRDefault="008C7F7A" w:rsidP="00903D9A">
      <w:pPr>
        <w:pStyle w:val="ListParagraph"/>
        <w:numPr>
          <w:ilvl w:val="1"/>
          <w:numId w:val="5"/>
        </w:numPr>
        <w:spacing w:after="100" w:afterAutospacing="1" w:line="36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W</w:t>
      </w:r>
      <w:r w:rsidR="009306DF" w:rsidRPr="008C7F7A">
        <w:rPr>
          <w:rFonts w:eastAsia="Times New Roman" w:cstheme="minorHAnsi"/>
          <w:kern w:val="0"/>
          <w:lang w:eastAsia="en-GB"/>
          <w14:ligatures w14:val="none"/>
        </w:rPr>
        <w:t xml:space="preserve">ho have </w:t>
      </w:r>
      <w:r w:rsidR="009306DF" w:rsidRPr="008C7F7A">
        <w:rPr>
          <w:rFonts w:eastAsia="Times New Roman" w:cstheme="minorHAnsi"/>
          <w:b/>
          <w:bCs/>
          <w:kern w:val="0"/>
          <w:lang w:eastAsia="en-GB"/>
          <w14:ligatures w14:val="none"/>
        </w:rPr>
        <w:t>at least 4 migraine days per month</w:t>
      </w:r>
    </w:p>
    <w:p w14:paraId="09492332" w14:textId="56408109" w:rsidR="004D609F" w:rsidRDefault="008C7F7A" w:rsidP="00903D9A">
      <w:pPr>
        <w:pStyle w:val="ListParagraph"/>
        <w:numPr>
          <w:ilvl w:val="1"/>
          <w:numId w:val="5"/>
        </w:numPr>
        <w:spacing w:after="100" w:afterAutospacing="1" w:line="36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When</w:t>
      </w:r>
      <w:r w:rsidR="009306DF" w:rsidRPr="008C7F7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9306DF" w:rsidRPr="008C7F7A">
        <w:rPr>
          <w:rFonts w:eastAsia="Times New Roman" w:cstheme="minorHAnsi"/>
          <w:b/>
          <w:bCs/>
          <w:kern w:val="0"/>
          <w:lang w:eastAsia="en-GB"/>
          <w14:ligatures w14:val="none"/>
        </w:rPr>
        <w:t>3 preventive medicines have failed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 xml:space="preserve"> to control migraine</w:t>
      </w:r>
      <w:r w:rsidR="00757857">
        <w:rPr>
          <w:rFonts w:eastAsia="Times New Roman" w:cstheme="minorHAnsi"/>
          <w:kern w:val="0"/>
          <w:lang w:eastAsia="en-GB"/>
          <w14:ligatures w14:val="none"/>
        </w:rPr>
        <w:t xml:space="preserve"> or have not been tolerated or contraindicated.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26582E8D" w14:textId="4ED1E495" w:rsidR="008C7F7A" w:rsidRDefault="009306DF" w:rsidP="00903D9A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cstheme="minorHAnsi"/>
          <w:color w:val="000000"/>
        </w:rPr>
      </w:pPr>
      <w:r w:rsidRPr="008C7F7A">
        <w:rPr>
          <w:rFonts w:cstheme="minorHAnsi"/>
          <w:color w:val="000000"/>
        </w:rPr>
        <w:t xml:space="preserve">Acute treatment with Aspirin, NSAIDS, </w:t>
      </w:r>
      <w:r w:rsidR="002704AB">
        <w:rPr>
          <w:rFonts w:cstheme="minorHAnsi"/>
          <w:color w:val="000000"/>
        </w:rPr>
        <w:t>T</w:t>
      </w:r>
      <w:r w:rsidRPr="008C7F7A">
        <w:rPr>
          <w:rFonts w:cstheme="minorHAnsi"/>
          <w:color w:val="000000"/>
        </w:rPr>
        <w:t xml:space="preserve">riptans and </w:t>
      </w:r>
      <w:r w:rsidR="004D609F" w:rsidRPr="008C7F7A">
        <w:rPr>
          <w:rFonts w:cstheme="minorHAnsi"/>
          <w:color w:val="000000"/>
        </w:rPr>
        <w:t>R</w:t>
      </w:r>
      <w:r w:rsidRPr="008C7F7A">
        <w:rPr>
          <w:rFonts w:cstheme="minorHAnsi"/>
          <w:color w:val="000000"/>
        </w:rPr>
        <w:t>imegepant</w:t>
      </w:r>
      <w:r w:rsidR="00005F49">
        <w:rPr>
          <w:rFonts w:cstheme="minorHAnsi"/>
          <w:color w:val="000000"/>
        </w:rPr>
        <w:t xml:space="preserve"> (Max 8/month)</w:t>
      </w:r>
      <w:r w:rsidRPr="008C7F7A">
        <w:rPr>
          <w:rFonts w:cstheme="minorHAnsi"/>
          <w:color w:val="000000"/>
        </w:rPr>
        <w:t xml:space="preserve"> can be </w:t>
      </w:r>
      <w:r w:rsidR="00005F49">
        <w:rPr>
          <w:rFonts w:cstheme="minorHAnsi"/>
          <w:color w:val="000000"/>
        </w:rPr>
        <w:t>used</w:t>
      </w:r>
      <w:r w:rsidRPr="008C7F7A">
        <w:rPr>
          <w:rFonts w:cstheme="minorHAnsi"/>
          <w:color w:val="000000"/>
        </w:rPr>
        <w:t xml:space="preserve"> </w:t>
      </w:r>
      <w:r w:rsidR="00903D9A">
        <w:rPr>
          <w:rFonts w:cstheme="minorHAnsi"/>
          <w:color w:val="000000"/>
        </w:rPr>
        <w:t>with</w:t>
      </w:r>
      <w:r w:rsidRPr="008C7F7A">
        <w:rPr>
          <w:rFonts w:cstheme="minorHAnsi"/>
          <w:color w:val="000000"/>
        </w:rPr>
        <w:t xml:space="preserve"> </w:t>
      </w:r>
      <w:r w:rsidR="004D609F" w:rsidRPr="008C7F7A">
        <w:rPr>
          <w:rFonts w:cstheme="minorHAnsi"/>
          <w:color w:val="000000"/>
        </w:rPr>
        <w:t>A</w:t>
      </w:r>
      <w:r w:rsidRPr="008C7F7A">
        <w:rPr>
          <w:rFonts w:cstheme="minorHAnsi"/>
          <w:color w:val="000000"/>
        </w:rPr>
        <w:t xml:space="preserve">togepant. </w:t>
      </w:r>
    </w:p>
    <w:p w14:paraId="42BAC922" w14:textId="78A4ABAB" w:rsidR="009306DF" w:rsidRPr="008C7F7A" w:rsidRDefault="00005F49" w:rsidP="00903D9A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eastAsia="Times New Roman" w:cstheme="minorHAnsi"/>
          <w:kern w:val="0"/>
          <w:lang w:eastAsia="en-GB"/>
          <w14:ligatures w14:val="none"/>
        </w:rPr>
      </w:pPr>
      <w:bookmarkStart w:id="1" w:name="_Hlk172444317"/>
      <w:bookmarkStart w:id="2" w:name="_Hlk172444424"/>
      <w:r>
        <w:rPr>
          <w:rFonts w:eastAsia="Times New Roman" w:cstheme="minorHAnsi"/>
          <w:kern w:val="0"/>
          <w:lang w:eastAsia="en-GB"/>
          <w14:ligatures w14:val="none"/>
        </w:rPr>
        <w:t xml:space="preserve">Review 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 xml:space="preserve">at three months </w:t>
      </w:r>
      <w:r>
        <w:rPr>
          <w:rFonts w:eastAsia="Times New Roman" w:cstheme="minorHAnsi"/>
          <w:kern w:val="0"/>
          <w:lang w:eastAsia="en-GB"/>
          <w14:ligatures w14:val="none"/>
        </w:rPr>
        <w:t>and continue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 xml:space="preserve"> i</w:t>
      </w:r>
      <w:r w:rsidR="009306DF" w:rsidRPr="008C7F7A">
        <w:rPr>
          <w:rFonts w:eastAsia="Times New Roman" w:cstheme="minorHAnsi"/>
          <w:kern w:val="0"/>
          <w:lang w:eastAsia="en-GB"/>
          <w14:ligatures w14:val="none"/>
        </w:rPr>
        <w:t>f the frequency of migraine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 xml:space="preserve"> days</w:t>
      </w:r>
      <w:r w:rsidR="009306DF" w:rsidRPr="008C7F7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>has</w:t>
      </w:r>
      <w:r w:rsidR="009306DF" w:rsidRPr="008C7F7A">
        <w:rPr>
          <w:rFonts w:eastAsia="Times New Roman" w:cstheme="minorHAnsi"/>
          <w:kern w:val="0"/>
          <w:lang w:eastAsia="en-GB"/>
          <w14:ligatures w14:val="none"/>
        </w:rPr>
        <w:t xml:space="preserve"> reduce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>d</w:t>
      </w:r>
      <w:r w:rsidR="009306DF" w:rsidRPr="008C7F7A">
        <w:rPr>
          <w:rFonts w:eastAsia="Times New Roman" w:cstheme="minorHAnsi"/>
          <w:kern w:val="0"/>
          <w:lang w:eastAsia="en-GB"/>
          <w14:ligatures w14:val="none"/>
        </w:rPr>
        <w:t xml:space="preserve"> by</w:t>
      </w:r>
      <w:r w:rsidR="004D609F" w:rsidRPr="008C7F7A">
        <w:rPr>
          <w:rFonts w:eastAsia="Times New Roman" w:cstheme="minorHAnsi"/>
          <w:kern w:val="0"/>
          <w:lang w:eastAsia="en-GB"/>
          <w14:ligatures w14:val="none"/>
        </w:rPr>
        <w:t xml:space="preserve">: </w:t>
      </w:r>
    </w:p>
    <w:p w14:paraId="12C2E429" w14:textId="7632F867" w:rsidR="009306DF" w:rsidRPr="009306DF" w:rsidRDefault="004D609F" w:rsidP="00903D9A">
      <w:pPr>
        <w:numPr>
          <w:ilvl w:val="1"/>
          <w:numId w:val="5"/>
        </w:numPr>
        <w:spacing w:after="100" w:afterAutospacing="1" w:line="36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A</w:t>
      </w:r>
      <w:r w:rsidR="009306DF" w:rsidRPr="009306DF">
        <w:rPr>
          <w:rFonts w:eastAsia="Times New Roman" w:cstheme="minorHAnsi"/>
          <w:kern w:val="0"/>
          <w:lang w:eastAsia="en-GB"/>
          <w14:ligatures w14:val="none"/>
        </w:rPr>
        <w:t>t least 50% in episodic migraine (defined as fewer than 15 headache days per month)</w:t>
      </w:r>
      <w:r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59B7C552" w14:textId="773E4D2D" w:rsidR="009306DF" w:rsidRPr="009306DF" w:rsidRDefault="004D609F" w:rsidP="00903D9A">
      <w:pPr>
        <w:numPr>
          <w:ilvl w:val="1"/>
          <w:numId w:val="5"/>
        </w:numPr>
        <w:spacing w:after="100" w:afterAutospacing="1" w:line="36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A</w:t>
      </w:r>
      <w:r w:rsidR="009306DF" w:rsidRPr="009306DF">
        <w:rPr>
          <w:rFonts w:eastAsia="Times New Roman" w:cstheme="minorHAnsi"/>
          <w:kern w:val="0"/>
          <w:lang w:eastAsia="en-GB"/>
          <w14:ligatures w14:val="none"/>
        </w:rPr>
        <w:t>t least 30% in chronic migraine (defined as 15 or more headache days per month, with at least 8 of those having features of migraine).</w:t>
      </w:r>
    </w:p>
    <w:p w14:paraId="798F72F1" w14:textId="03A30DB7" w:rsidR="004D609F" w:rsidRPr="00757857" w:rsidRDefault="008C7F7A" w:rsidP="008E6931">
      <w:pPr>
        <w:pStyle w:val="NormalWeb"/>
        <w:numPr>
          <w:ilvl w:val="0"/>
          <w:numId w:val="5"/>
        </w:num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757857">
        <w:rPr>
          <w:rFonts w:asciiTheme="minorHAnsi" w:hAnsiTheme="minorHAnsi" w:cstheme="minorHAnsi"/>
          <w:sz w:val="22"/>
          <w:szCs w:val="22"/>
        </w:rPr>
        <w:t>It is acceptable to continue therapy for a further three months</w:t>
      </w:r>
      <w:r w:rsidR="00D806AB" w:rsidRPr="00757857">
        <w:rPr>
          <w:rFonts w:asciiTheme="minorHAnsi" w:hAnsiTheme="minorHAnsi" w:cstheme="minorHAnsi"/>
          <w:sz w:val="22"/>
          <w:szCs w:val="22"/>
        </w:rPr>
        <w:t xml:space="preserve"> </w:t>
      </w:r>
      <w:r w:rsidRPr="00757857">
        <w:rPr>
          <w:rFonts w:asciiTheme="minorHAnsi" w:hAnsiTheme="minorHAnsi" w:cstheme="minorHAnsi"/>
          <w:sz w:val="22"/>
          <w:szCs w:val="22"/>
        </w:rPr>
        <w:t xml:space="preserve">if a person who experiences migraine feels that they have benefitted from Atogepant and have restored quality of life but have not achieved these criteria. </w:t>
      </w:r>
    </w:p>
    <w:bookmarkEnd w:id="1"/>
    <w:p w14:paraId="26EF41FB" w14:textId="3D1A44B0" w:rsidR="008C7F7A" w:rsidRPr="008C7F7A" w:rsidRDefault="009306DF" w:rsidP="00903D9A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06DF">
        <w:rPr>
          <w:rFonts w:asciiTheme="minorHAnsi" w:hAnsiTheme="minorHAnsi" w:cstheme="minorHAnsi"/>
          <w:sz w:val="22"/>
          <w:szCs w:val="22"/>
        </w:rPr>
        <w:t xml:space="preserve">It is good practise to review at one year and consider </w:t>
      </w:r>
      <w:r w:rsidR="0024567C">
        <w:rPr>
          <w:rFonts w:asciiTheme="minorHAnsi" w:hAnsiTheme="minorHAnsi" w:cstheme="minorHAnsi"/>
          <w:sz w:val="22"/>
          <w:szCs w:val="22"/>
        </w:rPr>
        <w:t>a trial without treatment</w:t>
      </w:r>
      <w:r w:rsidRPr="009306DF">
        <w:rPr>
          <w:rFonts w:asciiTheme="minorHAnsi" w:hAnsiTheme="minorHAnsi" w:cstheme="minorHAnsi"/>
          <w:sz w:val="22"/>
          <w:szCs w:val="22"/>
        </w:rPr>
        <w:t xml:space="preserve">. Migraine sits within a complex biopsychosocial context and after a year of good control, the drug may no longer be required. </w:t>
      </w:r>
      <w:r w:rsidR="00757857">
        <w:rPr>
          <w:rFonts w:asciiTheme="minorHAnsi" w:hAnsiTheme="minorHAnsi" w:cstheme="minorHAnsi"/>
          <w:sz w:val="22"/>
          <w:szCs w:val="22"/>
        </w:rPr>
        <w:t>However, only 20% will manage without.</w:t>
      </w:r>
    </w:p>
    <w:p w14:paraId="25BA903A" w14:textId="00F50A77" w:rsidR="009306DF" w:rsidRPr="009306DF" w:rsidRDefault="008C7F7A" w:rsidP="00903D9A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306DF" w:rsidRPr="009306DF">
        <w:rPr>
          <w:rFonts w:asciiTheme="minorHAnsi" w:hAnsiTheme="minorHAnsi" w:cstheme="minorHAnsi"/>
          <w:sz w:val="22"/>
          <w:szCs w:val="22"/>
        </w:rPr>
        <w:t xml:space="preserve">nnual </w:t>
      </w:r>
      <w:r>
        <w:rPr>
          <w:rFonts w:asciiTheme="minorHAnsi" w:hAnsiTheme="minorHAnsi" w:cstheme="minorHAnsi"/>
          <w:sz w:val="22"/>
          <w:szCs w:val="22"/>
        </w:rPr>
        <w:t xml:space="preserve">migraine </w:t>
      </w:r>
      <w:r w:rsidR="009306DF" w:rsidRPr="009306DF">
        <w:rPr>
          <w:rFonts w:asciiTheme="minorHAnsi" w:hAnsiTheme="minorHAnsi" w:cstheme="minorHAnsi"/>
          <w:sz w:val="22"/>
          <w:szCs w:val="22"/>
        </w:rPr>
        <w:t>review is also good practise</w:t>
      </w:r>
      <w:r w:rsidR="009306DF">
        <w:rPr>
          <w:rFonts w:asciiTheme="minorHAnsi" w:hAnsiTheme="minorHAnsi" w:cstheme="minorHAnsi"/>
          <w:sz w:val="22"/>
          <w:szCs w:val="22"/>
        </w:rPr>
        <w:t>.</w:t>
      </w:r>
    </w:p>
    <w:p w14:paraId="63E9D0A3" w14:textId="473DB7A2" w:rsidR="009306DF" w:rsidRPr="009306DF" w:rsidRDefault="009306DF" w:rsidP="00903D9A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06DF">
        <w:rPr>
          <w:rFonts w:asciiTheme="minorHAnsi" w:hAnsiTheme="minorHAnsi" w:cstheme="minorHAnsi"/>
          <w:color w:val="000000"/>
          <w:sz w:val="22"/>
          <w:szCs w:val="22"/>
        </w:rPr>
        <w:t>Routine blood monitoring is not required.</w:t>
      </w:r>
    </w:p>
    <w:bookmarkEnd w:id="2"/>
    <w:p w14:paraId="1BF5DCD3" w14:textId="77777777" w:rsidR="009306DF" w:rsidRPr="00903D9A" w:rsidRDefault="009306DF" w:rsidP="00903D9A">
      <w:pPr>
        <w:pStyle w:val="Heading1"/>
        <w:spacing w:line="360" w:lineRule="auto"/>
        <w:rPr>
          <w:sz w:val="28"/>
          <w:szCs w:val="28"/>
        </w:rPr>
      </w:pPr>
      <w:r w:rsidRPr="00903D9A">
        <w:rPr>
          <w:sz w:val="28"/>
          <w:szCs w:val="28"/>
        </w:rPr>
        <w:lastRenderedPageBreak/>
        <w:t>Drug Interactions:</w:t>
      </w:r>
    </w:p>
    <w:p w14:paraId="52D6E99B" w14:textId="18F3D755" w:rsidR="0024567C" w:rsidRPr="00757857" w:rsidRDefault="009306DF" w:rsidP="0024567C">
      <w:pPr>
        <w:pStyle w:val="NormalWeb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06DF">
        <w:rPr>
          <w:rFonts w:asciiTheme="minorHAnsi" w:hAnsiTheme="minorHAnsi" w:cstheme="minorHAnsi"/>
          <w:color w:val="000000"/>
          <w:sz w:val="22"/>
          <w:szCs w:val="22"/>
        </w:rPr>
        <w:t xml:space="preserve">If patient is prescribed a strong CYP3A4 inhibitor (e.g., clarithromycin, itraconazole) or a strong OATP inhibitor (e.g., rifampicin, atazanavir, ritonavir, tipranavir, ciclosporin, telmisartan) then the dose should be </w:t>
      </w:r>
      <w:r w:rsidRPr="00757857">
        <w:rPr>
          <w:rFonts w:asciiTheme="minorHAnsi" w:hAnsiTheme="minorHAnsi" w:cstheme="minorHAnsi"/>
          <w:color w:val="000000"/>
          <w:sz w:val="22"/>
          <w:szCs w:val="22"/>
        </w:rPr>
        <w:t xml:space="preserve">reduced to 10mg. </w:t>
      </w:r>
    </w:p>
    <w:p w14:paraId="76952A3E" w14:textId="2BB4D187" w:rsidR="008C7F7A" w:rsidRPr="00757857" w:rsidRDefault="009306DF" w:rsidP="00903D9A">
      <w:pPr>
        <w:pStyle w:val="NormalWeb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857">
        <w:rPr>
          <w:rFonts w:asciiTheme="minorHAnsi" w:hAnsiTheme="minorHAnsi" w:cstheme="minorHAnsi"/>
          <w:color w:val="000000"/>
          <w:sz w:val="22"/>
          <w:szCs w:val="22"/>
        </w:rPr>
        <w:t xml:space="preserve">Candesartan is a moderate OATP inhibitor and does not require dose reduction. </w:t>
      </w:r>
    </w:p>
    <w:p w14:paraId="42255BCD" w14:textId="4F163314" w:rsidR="009306DF" w:rsidRPr="009306DF" w:rsidRDefault="009306DF" w:rsidP="00903D9A">
      <w:pPr>
        <w:pStyle w:val="NormalWeb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06DF">
        <w:rPr>
          <w:rFonts w:asciiTheme="minorHAnsi" w:hAnsiTheme="minorHAnsi" w:cstheme="minorHAnsi"/>
          <w:color w:val="000000"/>
          <w:sz w:val="22"/>
          <w:szCs w:val="22"/>
        </w:rPr>
        <w:t xml:space="preserve">For those where the strong CYP3A4 inhibitor or OATP inhibitor is prescribed for a short course of treatment then it is acceptable to temporarily stop </w:t>
      </w:r>
      <w:r w:rsidR="008C7F7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306DF">
        <w:rPr>
          <w:rFonts w:asciiTheme="minorHAnsi" w:hAnsiTheme="minorHAnsi" w:cstheme="minorHAnsi"/>
          <w:color w:val="000000"/>
          <w:sz w:val="22"/>
          <w:szCs w:val="22"/>
        </w:rPr>
        <w:t>togepant and re-start it when the treatment course has completed.</w:t>
      </w:r>
    </w:p>
    <w:p w14:paraId="2E3F9673" w14:textId="7EB2E050" w:rsidR="009306DF" w:rsidRPr="00903D9A" w:rsidRDefault="009306DF" w:rsidP="00903D9A">
      <w:pPr>
        <w:pStyle w:val="Heading1"/>
        <w:spacing w:line="360" w:lineRule="auto"/>
        <w:rPr>
          <w:sz w:val="28"/>
          <w:szCs w:val="28"/>
        </w:rPr>
      </w:pPr>
      <w:r w:rsidRPr="00903D9A">
        <w:rPr>
          <w:sz w:val="28"/>
          <w:szCs w:val="28"/>
        </w:rPr>
        <w:t>Side-effects</w:t>
      </w:r>
      <w:r w:rsidR="008C7F7A" w:rsidRPr="00903D9A">
        <w:rPr>
          <w:sz w:val="28"/>
          <w:szCs w:val="28"/>
        </w:rPr>
        <w:t xml:space="preserve"> and prescribing cautions</w:t>
      </w:r>
      <w:r w:rsidRPr="00903D9A">
        <w:rPr>
          <w:sz w:val="28"/>
          <w:szCs w:val="28"/>
        </w:rPr>
        <w:t>:</w:t>
      </w:r>
    </w:p>
    <w:p w14:paraId="50DD8076" w14:textId="77777777" w:rsidR="008C7F7A" w:rsidRDefault="009306DF" w:rsidP="00903D9A">
      <w:pPr>
        <w:pStyle w:val="Normal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06DF">
        <w:rPr>
          <w:rFonts w:asciiTheme="minorHAnsi" w:hAnsiTheme="minorHAnsi" w:cstheme="minorHAnsi"/>
          <w:color w:val="000000"/>
          <w:sz w:val="22"/>
          <w:szCs w:val="22"/>
        </w:rPr>
        <w:t>Atogepant is generally well tolerated. Side effects noted in the clinical trials were</w:t>
      </w:r>
      <w:r w:rsidR="008C7F7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9306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A130C2B" w14:textId="77777777" w:rsidR="008C7F7A" w:rsidRDefault="008C7F7A" w:rsidP="00903D9A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9306DF" w:rsidRPr="009306DF">
        <w:rPr>
          <w:rFonts w:asciiTheme="minorHAnsi" w:hAnsiTheme="minorHAnsi" w:cstheme="minorHAnsi"/>
          <w:color w:val="000000"/>
          <w:sz w:val="22"/>
          <w:szCs w:val="22"/>
        </w:rPr>
        <w:t>onstipation (7%)</w:t>
      </w:r>
    </w:p>
    <w:p w14:paraId="5746C2B6" w14:textId="77777777" w:rsidR="008C7F7A" w:rsidRDefault="008C7F7A" w:rsidP="00903D9A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9306DF" w:rsidRPr="009306DF">
        <w:rPr>
          <w:rFonts w:asciiTheme="minorHAnsi" w:hAnsiTheme="minorHAnsi" w:cstheme="minorHAnsi"/>
          <w:color w:val="000000"/>
          <w:sz w:val="22"/>
          <w:szCs w:val="22"/>
        </w:rPr>
        <w:t xml:space="preserve">ausea (7%) </w:t>
      </w:r>
    </w:p>
    <w:p w14:paraId="65A00B8B" w14:textId="77777777" w:rsidR="008C7F7A" w:rsidRDefault="008C7F7A" w:rsidP="00903D9A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306DF" w:rsidRPr="009306DF">
        <w:rPr>
          <w:rFonts w:asciiTheme="minorHAnsi" w:hAnsiTheme="minorHAnsi" w:cstheme="minorHAnsi"/>
          <w:color w:val="000000"/>
          <w:sz w:val="22"/>
          <w:szCs w:val="22"/>
        </w:rPr>
        <w:t>omnolence (5%)</w:t>
      </w:r>
    </w:p>
    <w:p w14:paraId="1148A8E9" w14:textId="0773C207" w:rsidR="00005F49" w:rsidRDefault="00005F49" w:rsidP="00903D9A">
      <w:pPr>
        <w:pStyle w:val="Normal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 CGRP is a vasodilator and its effect may be blocked ensure any hypertension is controlled and check at three-month review. There are no other blood pressure monitoring requirements. Routine blood monitoring not required.</w:t>
      </w:r>
    </w:p>
    <w:p w14:paraId="587B7E7C" w14:textId="605AAA6B" w:rsidR="009306DF" w:rsidRPr="009306DF" w:rsidRDefault="009306DF" w:rsidP="00903D9A">
      <w:pPr>
        <w:pStyle w:val="Normal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306DF">
        <w:rPr>
          <w:rFonts w:asciiTheme="minorHAnsi" w:hAnsiTheme="minorHAnsi" w:cstheme="minorHAnsi"/>
          <w:color w:val="000000"/>
          <w:sz w:val="22"/>
          <w:szCs w:val="22"/>
        </w:rPr>
        <w:t>Atogepant should be avoided in severe hepatic impairment</w:t>
      </w:r>
      <w:r w:rsidR="008C7F7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306D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2456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dose reduction to 10mg is required in severe renal impairment</w:t>
      </w:r>
      <w:r w:rsidR="002456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(creatinine clearance &lt;30mL/min)</w:t>
      </w:r>
      <w:r w:rsidRPr="009306DF">
        <w:rPr>
          <w:rFonts w:asciiTheme="minorHAnsi" w:hAnsiTheme="minorHAnsi" w:cstheme="minorHAnsi"/>
          <w:color w:val="000000"/>
          <w:sz w:val="22"/>
          <w:szCs w:val="22"/>
        </w:rPr>
        <w:t>. Baseline U&amp;Es and LFTs should be considered if clinical concern. Routine monitoring is not required for patients with normal renal and liver function</w:t>
      </w:r>
      <w:r w:rsidR="00C51E12">
        <w:rPr>
          <w:rFonts w:asciiTheme="minorHAnsi" w:hAnsiTheme="minorHAnsi" w:cstheme="minorHAnsi"/>
          <w:color w:val="000000"/>
          <w:sz w:val="22"/>
          <w:szCs w:val="22"/>
        </w:rPr>
        <w:t xml:space="preserve"> but is good practice at initiation with people over 65 or cardiovascular disease.</w:t>
      </w:r>
    </w:p>
    <w:p w14:paraId="1F8FF5DB" w14:textId="7A07FF3B" w:rsidR="00C45C1F" w:rsidRPr="00903D9A" w:rsidRDefault="00C45C1F" w:rsidP="00154874">
      <w:pPr>
        <w:pStyle w:val="Heading1"/>
        <w:spacing w:line="360" w:lineRule="auto"/>
        <w:rPr>
          <w:sz w:val="28"/>
          <w:szCs w:val="28"/>
        </w:rPr>
      </w:pPr>
      <w:r w:rsidRPr="00903D9A">
        <w:rPr>
          <w:sz w:val="28"/>
          <w:szCs w:val="28"/>
        </w:rPr>
        <w:t>Pregnancy and breastfeeding</w:t>
      </w:r>
      <w:r w:rsidR="00154874">
        <w:rPr>
          <w:sz w:val="28"/>
          <w:szCs w:val="28"/>
        </w:rPr>
        <w:t>.</w:t>
      </w:r>
    </w:p>
    <w:p w14:paraId="6AC56F08" w14:textId="69C0406A" w:rsidR="00C45C1F" w:rsidRDefault="008C7F7A" w:rsidP="00154874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161616"/>
          <w:sz w:val="22"/>
          <w:szCs w:val="22"/>
        </w:rPr>
      </w:pPr>
      <w:r>
        <w:rPr>
          <w:rFonts w:asciiTheme="minorHAnsi" w:hAnsiTheme="minorHAnsi" w:cstheme="minorHAnsi"/>
          <w:color w:val="161616"/>
          <w:sz w:val="22"/>
          <w:szCs w:val="22"/>
        </w:rPr>
        <w:t>There is i</w:t>
      </w:r>
      <w:r w:rsidR="00C45C1F" w:rsidRPr="00C45C1F">
        <w:rPr>
          <w:rFonts w:asciiTheme="minorHAnsi" w:hAnsiTheme="minorHAnsi" w:cstheme="minorHAnsi"/>
          <w:color w:val="161616"/>
          <w:sz w:val="22"/>
          <w:szCs w:val="22"/>
        </w:rPr>
        <w:t>nsufficient data to support prescribing in this group</w:t>
      </w:r>
      <w:r>
        <w:rPr>
          <w:rFonts w:asciiTheme="minorHAnsi" w:hAnsiTheme="minorHAnsi" w:cstheme="minorHAnsi"/>
          <w:color w:val="161616"/>
          <w:sz w:val="22"/>
          <w:szCs w:val="22"/>
        </w:rPr>
        <w:t xml:space="preserve">. </w:t>
      </w:r>
    </w:p>
    <w:p w14:paraId="7446B45F" w14:textId="1FD781D5" w:rsidR="00154874" w:rsidRDefault="00154874" w:rsidP="00154874">
      <w:pPr>
        <w:pStyle w:val="Heading2"/>
        <w:spacing w:line="360" w:lineRule="auto"/>
      </w:pPr>
      <w:r>
        <w:t>Cardiovascular disease.</w:t>
      </w:r>
    </w:p>
    <w:p w14:paraId="1312ECAC" w14:textId="30289CFA" w:rsidR="00154874" w:rsidRDefault="00154874" w:rsidP="00154874">
      <w:pPr>
        <w:spacing w:line="360" w:lineRule="auto"/>
      </w:pPr>
      <w:r>
        <w:t>Insufficient evidence. Obtain specialist advi</w:t>
      </w:r>
      <w:r w:rsidR="002704AB">
        <w:t>c</w:t>
      </w:r>
      <w:r>
        <w:t>e.</w:t>
      </w:r>
    </w:p>
    <w:p w14:paraId="1ABC6DBD" w14:textId="299C848C" w:rsidR="00154874" w:rsidRDefault="00154874" w:rsidP="00154874">
      <w:pPr>
        <w:pStyle w:val="Heading2"/>
        <w:spacing w:line="360" w:lineRule="auto"/>
      </w:pPr>
      <w:r>
        <w:t>Use in elderly.</w:t>
      </w:r>
    </w:p>
    <w:p w14:paraId="6D5B83CC" w14:textId="0D4267D9" w:rsidR="00C45C1F" w:rsidRPr="00C45C1F" w:rsidRDefault="00154874" w:rsidP="00154874">
      <w:pPr>
        <w:spacing w:line="360" w:lineRule="auto"/>
        <w:rPr>
          <w:rFonts w:cstheme="minorHAnsi"/>
        </w:rPr>
      </w:pPr>
      <w:r>
        <w:t xml:space="preserve">Insufficient data. </w:t>
      </w:r>
      <w:r w:rsidR="0024567C">
        <w:t>P</w:t>
      </w:r>
      <w:r>
        <w:t xml:space="preserve">eople </w:t>
      </w:r>
      <w:r w:rsidR="0024567C">
        <w:t xml:space="preserve">up to the age of 80 </w:t>
      </w:r>
      <w:r>
        <w:t>were included in licensing trials, but numbers were small. Seek specialist advi</w:t>
      </w:r>
      <w:r w:rsidR="002704AB">
        <w:t>c</w:t>
      </w:r>
      <w:r>
        <w:t>e.</w:t>
      </w:r>
    </w:p>
    <w:sectPr w:rsidR="00C45C1F" w:rsidRPr="00C45C1F" w:rsidSect="00903D9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A79C" w14:textId="77777777" w:rsidR="002519E5" w:rsidRDefault="002519E5" w:rsidP="008D15F0">
      <w:pPr>
        <w:spacing w:after="0" w:line="240" w:lineRule="auto"/>
      </w:pPr>
      <w:r>
        <w:separator/>
      </w:r>
    </w:p>
  </w:endnote>
  <w:endnote w:type="continuationSeparator" w:id="0">
    <w:p w14:paraId="0D86D925" w14:textId="77777777" w:rsidR="002519E5" w:rsidRDefault="002519E5" w:rsidP="008D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C5E6" w14:textId="29C80530" w:rsidR="008D15F0" w:rsidRDefault="008D15F0">
    <w:pPr>
      <w:pStyle w:val="Footer"/>
    </w:pPr>
    <w:r>
      <w:t xml:space="preserve">Exeter Headache Clinic </w:t>
    </w:r>
    <w:r w:rsidR="00005F49">
      <w:t>Sept</w:t>
    </w:r>
    <w:r>
      <w:t xml:space="preserve"> 2024</w:t>
    </w:r>
  </w:p>
  <w:p w14:paraId="7428F434" w14:textId="77777777" w:rsidR="008D15F0" w:rsidRDefault="008D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FF13" w14:textId="77777777" w:rsidR="002519E5" w:rsidRDefault="002519E5" w:rsidP="008D15F0">
      <w:pPr>
        <w:spacing w:after="0" w:line="240" w:lineRule="auto"/>
      </w:pPr>
      <w:r>
        <w:separator/>
      </w:r>
    </w:p>
  </w:footnote>
  <w:footnote w:type="continuationSeparator" w:id="0">
    <w:p w14:paraId="1D6A1F2B" w14:textId="77777777" w:rsidR="002519E5" w:rsidRDefault="002519E5" w:rsidP="008D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D5"/>
    <w:multiLevelType w:val="hybridMultilevel"/>
    <w:tmpl w:val="5282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C6A"/>
    <w:multiLevelType w:val="multilevel"/>
    <w:tmpl w:val="7AF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F372D"/>
    <w:multiLevelType w:val="hybridMultilevel"/>
    <w:tmpl w:val="D084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4084"/>
    <w:multiLevelType w:val="hybridMultilevel"/>
    <w:tmpl w:val="8B1E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1DBC"/>
    <w:multiLevelType w:val="multilevel"/>
    <w:tmpl w:val="C02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F1CA1"/>
    <w:multiLevelType w:val="hybridMultilevel"/>
    <w:tmpl w:val="E4762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377DA"/>
    <w:multiLevelType w:val="hybridMultilevel"/>
    <w:tmpl w:val="6E7C1A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7152984">
    <w:abstractNumId w:val="1"/>
  </w:num>
  <w:num w:numId="2" w16cid:durableId="1562256088">
    <w:abstractNumId w:val="6"/>
  </w:num>
  <w:num w:numId="3" w16cid:durableId="1638795455">
    <w:abstractNumId w:val="2"/>
  </w:num>
  <w:num w:numId="4" w16cid:durableId="610599281">
    <w:abstractNumId w:val="4"/>
  </w:num>
  <w:num w:numId="5" w16cid:durableId="203450403">
    <w:abstractNumId w:val="3"/>
  </w:num>
  <w:num w:numId="6" w16cid:durableId="123890224">
    <w:abstractNumId w:val="0"/>
  </w:num>
  <w:num w:numId="7" w16cid:durableId="2130123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1FD54C2-7B33-42F4-80CF-6F788C0CEDC8}"/>
    <w:docVar w:name="dgnword-eventsink" w:val="1911437656640"/>
  </w:docVars>
  <w:rsids>
    <w:rsidRoot w:val="00C45C1F"/>
    <w:rsid w:val="00005F49"/>
    <w:rsid w:val="00117041"/>
    <w:rsid w:val="00146F56"/>
    <w:rsid w:val="00154874"/>
    <w:rsid w:val="0024567C"/>
    <w:rsid w:val="002519E5"/>
    <w:rsid w:val="002704AB"/>
    <w:rsid w:val="0027537A"/>
    <w:rsid w:val="003E1F20"/>
    <w:rsid w:val="00400B24"/>
    <w:rsid w:val="0046536B"/>
    <w:rsid w:val="004D455D"/>
    <w:rsid w:val="004D5343"/>
    <w:rsid w:val="004D609F"/>
    <w:rsid w:val="004E4EBC"/>
    <w:rsid w:val="005017E8"/>
    <w:rsid w:val="00551FC8"/>
    <w:rsid w:val="00657BCB"/>
    <w:rsid w:val="006C7C8D"/>
    <w:rsid w:val="006E3E25"/>
    <w:rsid w:val="00735950"/>
    <w:rsid w:val="00757857"/>
    <w:rsid w:val="00783384"/>
    <w:rsid w:val="007A0027"/>
    <w:rsid w:val="008A4029"/>
    <w:rsid w:val="008C0184"/>
    <w:rsid w:val="008C7F7A"/>
    <w:rsid w:val="008D15F0"/>
    <w:rsid w:val="00903D9A"/>
    <w:rsid w:val="009306DF"/>
    <w:rsid w:val="00980B3F"/>
    <w:rsid w:val="009D290E"/>
    <w:rsid w:val="00AA3ECF"/>
    <w:rsid w:val="00B3611B"/>
    <w:rsid w:val="00C13103"/>
    <w:rsid w:val="00C45C1F"/>
    <w:rsid w:val="00C51E12"/>
    <w:rsid w:val="00D61D62"/>
    <w:rsid w:val="00D806AB"/>
    <w:rsid w:val="00EF0313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3036"/>
  <w15:chartTrackingRefBased/>
  <w15:docId w15:val="{64F1BF49-16B7-4B60-AFA0-82007D1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6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45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5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F0"/>
  </w:style>
  <w:style w:type="paragraph" w:styleId="Footer">
    <w:name w:val="footer"/>
    <w:basedOn w:val="Normal"/>
    <w:link w:val="FooterChar"/>
    <w:uiPriority w:val="99"/>
    <w:unhideWhenUsed/>
    <w:rsid w:val="008D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F0"/>
  </w:style>
  <w:style w:type="character" w:customStyle="1" w:styleId="Heading3Char">
    <w:name w:val="Heading 3 Char"/>
    <w:basedOn w:val="DefaultParagraphFont"/>
    <w:link w:val="Heading3"/>
    <w:uiPriority w:val="9"/>
    <w:semiHidden/>
    <w:rsid w:val="009306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06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6Colorful-Accent5">
    <w:name w:val="List Table 6 Colorful Accent 5"/>
    <w:basedOn w:val="TableNormal"/>
    <w:uiPriority w:val="51"/>
    <w:rsid w:val="005017E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5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Kernick, David</dc:creator>
  <cp:keywords/>
  <dc:description/>
  <cp:lastModifiedBy>HOTTON, Sam (ST THOMAS MEDICAL GROUP)</cp:lastModifiedBy>
  <cp:revision>3</cp:revision>
  <cp:lastPrinted>2024-09-10T11:28:00Z</cp:lastPrinted>
  <dcterms:created xsi:type="dcterms:W3CDTF">2024-09-10T11:29:00Z</dcterms:created>
  <dcterms:modified xsi:type="dcterms:W3CDTF">2024-11-05T10:44:00Z</dcterms:modified>
</cp:coreProperties>
</file>